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3787" w14:textId="77777777" w:rsidR="00851980" w:rsidRDefault="00851980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B9300B" w14:textId="1BCD8BF0" w:rsidR="006E12D2" w:rsidRDefault="006E12D2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PRAVILA PRODAJNE AKCIJE</w:t>
      </w:r>
    </w:p>
    <w:p w14:paraId="0C750079" w14:textId="7147B086" w:rsidR="006E12D2" w:rsidRDefault="006E12D2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1942">
        <w:rPr>
          <w:rFonts w:asciiTheme="minorHAnsi" w:hAnsiTheme="minorHAnsi" w:cstheme="minorHAnsi"/>
          <w:b/>
          <w:bCs/>
          <w:sz w:val="32"/>
          <w:szCs w:val="32"/>
        </w:rPr>
        <w:t>„</w:t>
      </w:r>
      <w:r>
        <w:rPr>
          <w:rFonts w:asciiTheme="minorHAnsi" w:hAnsiTheme="minorHAnsi" w:cstheme="minorHAnsi"/>
          <w:b/>
          <w:bCs/>
          <w:sz w:val="32"/>
          <w:szCs w:val="32"/>
        </w:rPr>
        <w:t>FOKUS NA POPUST</w:t>
      </w:r>
      <w:r w:rsidR="00417B2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B3D4A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="00417B2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82E81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EF223E">
        <w:rPr>
          <w:rFonts w:asciiTheme="minorHAnsi" w:hAnsiTheme="minorHAnsi" w:cstheme="minorHAnsi"/>
          <w:b/>
          <w:bCs/>
          <w:sz w:val="32"/>
          <w:szCs w:val="32"/>
        </w:rPr>
        <w:t>O</w:t>
      </w:r>
      <w:r w:rsidR="00382E81">
        <w:rPr>
          <w:rFonts w:asciiTheme="minorHAnsi" w:hAnsiTheme="minorHAnsi" w:cstheme="minorHAnsi"/>
          <w:b/>
          <w:bCs/>
          <w:sz w:val="32"/>
          <w:szCs w:val="32"/>
        </w:rPr>
        <w:t>N</w:t>
      </w:r>
      <w:r w:rsidR="008B3D4A">
        <w:rPr>
          <w:rFonts w:asciiTheme="minorHAnsi" w:hAnsiTheme="minorHAnsi" w:cstheme="minorHAnsi"/>
          <w:b/>
          <w:bCs/>
          <w:sz w:val="32"/>
          <w:szCs w:val="32"/>
        </w:rPr>
        <w:t>ČNA OČALA</w:t>
      </w:r>
      <w:r w:rsidRPr="00C01942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436BDB6C" w14:textId="77777777" w:rsidR="00851980" w:rsidRPr="00C01942" w:rsidRDefault="00851980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64C4E51" w14:textId="50735F23" w:rsidR="006E12D2" w:rsidRDefault="00851980" w:rsidP="00851980">
      <w:pPr>
        <w:tabs>
          <w:tab w:val="left" w:pos="11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0EEE25E4" w14:textId="77777777" w:rsidR="00207A77" w:rsidRDefault="00207A77" w:rsidP="00207A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b/>
          <w:bCs/>
          <w:sz w:val="32"/>
          <w:szCs w:val="32"/>
        </w:rPr>
      </w:pPr>
    </w:p>
    <w:p w14:paraId="4323E682" w14:textId="72ED0099" w:rsidR="00BC3032" w:rsidRPr="00851980" w:rsidRDefault="00851980" w:rsidP="00851980">
      <w:pPr>
        <w:pStyle w:val="Odstavekseznama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</w:rPr>
      </w:pPr>
      <w:r w:rsidRPr="00851980">
        <w:rPr>
          <w:rFonts w:asciiTheme="minorHAnsi" w:hAnsiTheme="minorHAnsi" w:cstheme="minorHAnsi"/>
        </w:rPr>
        <w:t>Prodajna akcija – posebni pogoji prodaje »Fokus na popust – SONCE« poteka v obdobju od 1. 6. 2026 do 30. 6. 2026. Akcija velja v vseh PE GHETALDUS OPTIKA d.o.o. oziroma do razprodaje zalog.</w:t>
      </w:r>
    </w:p>
    <w:p w14:paraId="05092184" w14:textId="1DEF203F" w:rsidR="00851980" w:rsidRPr="00293C81" w:rsidRDefault="00851980" w:rsidP="00BC3032">
      <w:pPr>
        <w:pStyle w:val="Odstavekseznam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left="284" w:right="135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</w:t>
      </w:r>
    </w:p>
    <w:p w14:paraId="688CB424" w14:textId="2B89BFA9" w:rsidR="006E12D2" w:rsidRPr="00851980" w:rsidRDefault="00851980" w:rsidP="00851980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51980">
        <w:rPr>
          <w:rFonts w:asciiTheme="minorHAnsi" w:hAnsiTheme="minorHAnsi" w:cstheme="minorHAnsi"/>
        </w:rPr>
        <w:t>Ti posebni prodajni pogoji veljajo ob nakupu kateregakoli čistilnega sredstva.</w:t>
      </w:r>
    </w:p>
    <w:p w14:paraId="04CB3D7F" w14:textId="7BDE65AA" w:rsidR="00851980" w:rsidRDefault="00851980" w:rsidP="006E12D2">
      <w:pPr>
        <w:jc w:val="both"/>
        <w:rPr>
          <w:rFonts w:asciiTheme="minorHAnsi" w:hAnsiTheme="minorHAnsi" w:cstheme="minorHAnsi"/>
          <w:lang w:val="hr-HR"/>
        </w:rPr>
      </w:pPr>
    </w:p>
    <w:p w14:paraId="3B602C0E" w14:textId="77777777" w:rsidR="00851980" w:rsidRDefault="00851980" w:rsidP="00851980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51980">
        <w:rPr>
          <w:rFonts w:asciiTheme="minorHAnsi" w:hAnsiTheme="minorHAnsi" w:cstheme="minorHAnsi"/>
        </w:rPr>
        <w:t>Ti posebni prodajni pogoji veljajo izključno za del prodajnega programa sončnih očal, za katerega veljajo naslednji popusti:</w:t>
      </w:r>
    </w:p>
    <w:p w14:paraId="7386E0FC" w14:textId="77777777" w:rsidR="00851980" w:rsidRPr="00851980" w:rsidRDefault="00851980" w:rsidP="00851980">
      <w:pPr>
        <w:pStyle w:val="Odstavekseznama"/>
        <w:rPr>
          <w:rFonts w:asciiTheme="minorHAnsi" w:hAnsiTheme="minorHAnsi" w:cstheme="minorBidi"/>
          <w:b/>
          <w:bCs/>
          <w:lang w:val="hr-HR"/>
        </w:rPr>
      </w:pPr>
    </w:p>
    <w:p w14:paraId="5B85E451" w14:textId="42901405" w:rsidR="00851980" w:rsidRPr="00851980" w:rsidRDefault="00CA4DBB" w:rsidP="0085198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51980">
        <w:rPr>
          <w:rFonts w:asciiTheme="minorHAnsi" w:hAnsiTheme="minorHAnsi" w:cstheme="minorBidi"/>
          <w:b/>
          <w:bCs/>
          <w:lang w:val="hr-HR"/>
        </w:rPr>
        <w:t>4</w:t>
      </w:r>
      <w:r w:rsidR="002D68CB" w:rsidRPr="00851980">
        <w:rPr>
          <w:rFonts w:asciiTheme="minorHAnsi" w:hAnsiTheme="minorHAnsi" w:cstheme="minorBidi"/>
          <w:b/>
          <w:bCs/>
          <w:lang w:val="hr-HR"/>
        </w:rPr>
        <w:t>0%</w:t>
      </w:r>
      <w:r w:rsidR="002D68CB" w:rsidRPr="00851980">
        <w:rPr>
          <w:rFonts w:asciiTheme="minorHAnsi" w:hAnsiTheme="minorHAnsi" w:cstheme="minorBidi"/>
          <w:lang w:val="hr-HR"/>
        </w:rPr>
        <w:t xml:space="preserve"> na b</w:t>
      </w:r>
      <w:r w:rsidR="008B3D4A" w:rsidRPr="00851980">
        <w:rPr>
          <w:rFonts w:asciiTheme="minorHAnsi" w:hAnsiTheme="minorHAnsi" w:cstheme="minorBidi"/>
          <w:lang w:val="hr-HR"/>
        </w:rPr>
        <w:t>lagovne znamke</w:t>
      </w:r>
      <w:r w:rsidR="002D68CB" w:rsidRPr="00851980">
        <w:rPr>
          <w:rFonts w:asciiTheme="minorHAnsi" w:hAnsiTheme="minorHAnsi" w:cstheme="minorBidi"/>
          <w:lang w:val="hr-HR"/>
        </w:rPr>
        <w:t xml:space="preserve"> (Safilo i</w:t>
      </w:r>
      <w:r w:rsidR="00FB7A12">
        <w:rPr>
          <w:rFonts w:asciiTheme="minorHAnsi" w:hAnsiTheme="minorHAnsi" w:cstheme="minorBidi"/>
          <w:lang w:val="hr-HR"/>
        </w:rPr>
        <w:t>n</w:t>
      </w:r>
      <w:r w:rsidR="002D68CB" w:rsidRPr="00851980">
        <w:rPr>
          <w:rFonts w:asciiTheme="minorHAnsi" w:hAnsiTheme="minorHAnsi" w:cstheme="minorBidi"/>
          <w:lang w:val="hr-HR"/>
        </w:rPr>
        <w:t xml:space="preserve"> Marcolin)</w:t>
      </w:r>
      <w:r w:rsidR="00EF223E" w:rsidRPr="00851980">
        <w:rPr>
          <w:rFonts w:asciiTheme="minorHAnsi" w:hAnsiTheme="minorHAnsi" w:cstheme="minorBidi"/>
          <w:lang w:val="hr-HR"/>
        </w:rPr>
        <w:t>:</w:t>
      </w:r>
      <w:r w:rsidR="002D68CB" w:rsidRPr="00851980">
        <w:rPr>
          <w:rFonts w:asciiTheme="minorHAnsi" w:hAnsiTheme="minorHAnsi" w:cstheme="minorBidi"/>
          <w:lang w:val="hr-HR"/>
        </w:rPr>
        <w:t xml:space="preserve"> Balenciaga, Barton Perreira, Diesel, Dsquared, </w:t>
      </w:r>
      <w:r w:rsidRPr="00851980">
        <w:rPr>
          <w:rFonts w:asciiTheme="minorHAnsi" w:hAnsiTheme="minorHAnsi" w:cstheme="minorBidi"/>
          <w:lang w:val="hr-HR"/>
        </w:rPr>
        <w:t xml:space="preserve"> </w:t>
      </w:r>
      <w:r w:rsidR="002D68CB" w:rsidRPr="00851980">
        <w:rPr>
          <w:rFonts w:asciiTheme="minorHAnsi" w:hAnsiTheme="minorHAnsi" w:cstheme="minorBidi"/>
          <w:lang w:val="hr-HR"/>
        </w:rPr>
        <w:t>Guess, Guess Marciano, Just Cavalli, Max&amp;co., Max Mara, Pink by Victoria Secreet, Roberto Cavalli, Swarowski, Timberland, Tom Ford, Victoria Secreet, Web, Alexandar Mc.Quenn, Blue Bay, Bos</w:t>
      </w:r>
      <w:r w:rsidR="00E80148" w:rsidRPr="00851980">
        <w:rPr>
          <w:rFonts w:asciiTheme="minorHAnsi" w:hAnsiTheme="minorHAnsi" w:cstheme="minorBidi"/>
          <w:lang w:val="hr-HR"/>
        </w:rPr>
        <w:t>s</w:t>
      </w:r>
      <w:r w:rsidR="002D68CB" w:rsidRPr="00851980">
        <w:rPr>
          <w:rFonts w:asciiTheme="minorHAnsi" w:hAnsiTheme="minorHAnsi" w:cstheme="minorBidi"/>
          <w:lang w:val="hr-HR"/>
        </w:rPr>
        <w:t xml:space="preserve"> Orange, Bottega Veneta, Carrera, Carolina Herrera, Carrera Ducatti, David Beckham, Diesel, Elie Saab,</w:t>
      </w:r>
      <w:r w:rsidR="00E80148" w:rsidRPr="00851980">
        <w:rPr>
          <w:rFonts w:asciiTheme="minorHAnsi" w:hAnsiTheme="minorHAnsi" w:cstheme="minorBidi"/>
          <w:lang w:val="hr-HR"/>
        </w:rPr>
        <w:t xml:space="preserve"> </w:t>
      </w:r>
      <w:r w:rsidR="002D68CB" w:rsidRPr="00851980">
        <w:rPr>
          <w:rFonts w:asciiTheme="minorHAnsi" w:hAnsiTheme="minorHAnsi" w:cstheme="minorBidi"/>
          <w:lang w:val="hr-HR"/>
        </w:rPr>
        <w:t>Fossil, Givenchy, Gucci, Hugo, Hugo Boss, Isabel Marant, Jimmy Choo, Levis, Marc by Marc Jacobs, Marc Jacobs, Missoni, M Missoni, Moschino, Moschino Love, Oxido , Pierre Cardin, Polaroid, Prive Reavaux, S</w:t>
      </w:r>
      <w:r w:rsidR="00F66365" w:rsidRPr="00851980">
        <w:rPr>
          <w:rFonts w:asciiTheme="minorHAnsi" w:hAnsiTheme="minorHAnsi" w:cstheme="minorBidi"/>
          <w:lang w:val="hr-HR"/>
        </w:rPr>
        <w:t>tella McCartney</w:t>
      </w:r>
      <w:r w:rsidR="002D68CB" w:rsidRPr="00851980">
        <w:rPr>
          <w:rFonts w:asciiTheme="minorHAnsi" w:hAnsiTheme="minorHAnsi" w:cstheme="minorBidi"/>
          <w:lang w:val="hr-HR"/>
        </w:rPr>
        <w:t>, Tommy Hilfiger</w:t>
      </w:r>
      <w:r w:rsidR="00E639D8" w:rsidRPr="00851980">
        <w:rPr>
          <w:rFonts w:asciiTheme="minorHAnsi" w:hAnsiTheme="minorHAnsi" w:cstheme="minorBidi"/>
          <w:lang w:val="hr-HR"/>
        </w:rPr>
        <w:t xml:space="preserve">, </w:t>
      </w:r>
      <w:r w:rsidR="00E62DC9" w:rsidRPr="00851980">
        <w:rPr>
          <w:rFonts w:asciiTheme="minorHAnsi" w:hAnsiTheme="minorHAnsi" w:cstheme="minorBidi"/>
          <w:lang w:val="hr-HR"/>
        </w:rPr>
        <w:t>Tommy jeans, Valentino, Yves Saint Laurent</w:t>
      </w:r>
      <w:r w:rsidR="00E80148" w:rsidRPr="00851980">
        <w:rPr>
          <w:rFonts w:asciiTheme="minorHAnsi" w:hAnsiTheme="minorHAnsi" w:cstheme="minorBidi"/>
          <w:lang w:val="hr-HR"/>
        </w:rPr>
        <w:t>, Paul Smith, Adidas, Gant</w:t>
      </w:r>
      <w:r w:rsidR="00E62DC9" w:rsidRPr="00851980">
        <w:rPr>
          <w:rFonts w:asciiTheme="minorHAnsi" w:hAnsiTheme="minorHAnsi" w:cstheme="minorBidi"/>
          <w:lang w:val="hr-HR"/>
        </w:rPr>
        <w:t xml:space="preserve"> </w:t>
      </w:r>
    </w:p>
    <w:p w14:paraId="7D2F4CB6" w14:textId="77777777" w:rsidR="00851980" w:rsidRPr="00851980" w:rsidRDefault="00851980" w:rsidP="00851980">
      <w:pPr>
        <w:pStyle w:val="Odstavekseznama"/>
        <w:ind w:left="1440"/>
        <w:jc w:val="both"/>
        <w:rPr>
          <w:rFonts w:asciiTheme="minorHAnsi" w:hAnsiTheme="minorHAnsi" w:cstheme="minorHAnsi"/>
        </w:rPr>
      </w:pPr>
    </w:p>
    <w:p w14:paraId="6D80D394" w14:textId="4EDC3F53" w:rsidR="006E12D2" w:rsidRPr="00851980" w:rsidRDefault="00CA4DBB" w:rsidP="00C4426F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lang w:val="hr-HR"/>
        </w:rPr>
      </w:pPr>
      <w:r w:rsidRPr="00851980">
        <w:rPr>
          <w:rFonts w:asciiTheme="minorHAnsi" w:hAnsiTheme="minorHAnsi" w:cstheme="minorHAnsi"/>
          <w:b/>
          <w:bCs/>
          <w:lang w:val="hr-HR"/>
        </w:rPr>
        <w:t>2</w:t>
      </w:r>
      <w:r w:rsidR="006E12D2" w:rsidRPr="00851980">
        <w:rPr>
          <w:rFonts w:asciiTheme="minorHAnsi" w:hAnsiTheme="minorHAnsi" w:cstheme="minorHAnsi"/>
          <w:b/>
          <w:bCs/>
          <w:lang w:val="hr-HR"/>
        </w:rPr>
        <w:t>0%</w:t>
      </w:r>
      <w:r w:rsidR="006E12D2" w:rsidRPr="00851980">
        <w:rPr>
          <w:rFonts w:asciiTheme="minorHAnsi" w:hAnsiTheme="minorHAnsi" w:cstheme="minorHAnsi"/>
          <w:lang w:val="hr-HR"/>
        </w:rPr>
        <w:t xml:space="preserve"> </w:t>
      </w:r>
      <w:r w:rsidR="00272494" w:rsidRPr="00851980">
        <w:rPr>
          <w:rFonts w:asciiTheme="minorHAnsi" w:hAnsiTheme="minorHAnsi" w:cstheme="minorHAnsi"/>
          <w:lang w:val="hr-HR"/>
        </w:rPr>
        <w:t>na</w:t>
      </w:r>
      <w:r w:rsidR="006E12D2" w:rsidRPr="00851980">
        <w:rPr>
          <w:rFonts w:asciiTheme="minorHAnsi" w:hAnsiTheme="minorHAnsi" w:cstheme="minorHAnsi"/>
          <w:lang w:val="hr-HR"/>
        </w:rPr>
        <w:t xml:space="preserve"> b</w:t>
      </w:r>
      <w:r w:rsidR="008B3D4A" w:rsidRPr="00851980">
        <w:rPr>
          <w:rFonts w:asciiTheme="minorHAnsi" w:hAnsiTheme="minorHAnsi" w:cstheme="minorHAnsi"/>
          <w:lang w:val="hr-HR"/>
        </w:rPr>
        <w:t>lagovno znamko</w:t>
      </w:r>
      <w:r w:rsidR="006E712F" w:rsidRPr="00851980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6E12D2" w:rsidRPr="00851980">
        <w:rPr>
          <w:rFonts w:asciiTheme="minorHAnsi" w:hAnsiTheme="minorHAnsi" w:cstheme="minorHAnsi"/>
          <w:lang w:val="hr-HR"/>
        </w:rPr>
        <w:t>Dita</w:t>
      </w:r>
    </w:p>
    <w:p w14:paraId="20D4E39A" w14:textId="77777777" w:rsidR="00851980" w:rsidRDefault="00851980" w:rsidP="00851980">
      <w:pPr>
        <w:jc w:val="both"/>
        <w:rPr>
          <w:rFonts w:asciiTheme="minorHAnsi" w:hAnsiTheme="minorHAnsi" w:cstheme="minorHAnsi"/>
          <w:lang w:val="hr-HR"/>
        </w:rPr>
      </w:pPr>
    </w:p>
    <w:p w14:paraId="590C6376" w14:textId="77777777" w:rsidR="00851980" w:rsidRPr="00851980" w:rsidRDefault="00851980" w:rsidP="00A70326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r w:rsidRPr="00851980">
        <w:rPr>
          <w:rFonts w:asciiTheme="minorHAnsi" w:hAnsiTheme="minorHAnsi" w:cstheme="minorHAnsi"/>
        </w:rPr>
        <w:t>Ti posebni prodajni pogoji izključujejo uporabo vseh drugih posebnih oblik oziroma pogojev prodaje. Akcije se med seboj izključujejo, popusti pa se ne seštevajo.</w:t>
      </w:r>
    </w:p>
    <w:p w14:paraId="6D50D11E" w14:textId="77777777" w:rsidR="00851980" w:rsidRPr="00851980" w:rsidRDefault="00851980" w:rsidP="00851980">
      <w:pPr>
        <w:pStyle w:val="Odstavekseznama"/>
        <w:jc w:val="both"/>
        <w:rPr>
          <w:rFonts w:asciiTheme="minorHAnsi" w:hAnsiTheme="minorHAnsi" w:cstheme="minorHAnsi"/>
          <w:lang w:val="hr-HR"/>
        </w:rPr>
      </w:pPr>
    </w:p>
    <w:p w14:paraId="0FF4D336" w14:textId="4B509429" w:rsidR="005F1D1E" w:rsidRPr="00851980" w:rsidRDefault="00851980" w:rsidP="00A70326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r w:rsidRPr="00851980">
        <w:rPr>
          <w:rFonts w:asciiTheme="minorHAnsi" w:hAnsiTheme="minorHAnsi" w:cstheme="minorHAnsi"/>
        </w:rPr>
        <w:t>Sončna očala, vključena v akcijo »Trajno nizka cena«, niso vključena v akcijo »Fokus na popust«.</w:t>
      </w:r>
    </w:p>
    <w:p w14:paraId="72233918" w14:textId="5E639424" w:rsidR="0055063A" w:rsidRDefault="0055063A" w:rsidP="006E12D2">
      <w:pPr>
        <w:jc w:val="both"/>
        <w:rPr>
          <w:rFonts w:asciiTheme="minorHAnsi" w:hAnsiTheme="minorHAnsi" w:cstheme="minorHAnsi"/>
          <w:lang w:val="hr-HR"/>
        </w:rPr>
      </w:pPr>
    </w:p>
    <w:p w14:paraId="01A80D2D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5B19CFF1" w14:textId="77777777" w:rsidR="00851980" w:rsidRDefault="00851980" w:rsidP="00851980">
      <w:pPr>
        <w:rPr>
          <w:rFonts w:asciiTheme="minorHAnsi" w:hAnsiTheme="minorHAnsi" w:cstheme="minorHAnsi"/>
        </w:rPr>
      </w:pPr>
    </w:p>
    <w:p w14:paraId="63974978" w14:textId="3DEA745C" w:rsidR="00851980" w:rsidRDefault="008B3D4A" w:rsidP="008519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Ljubljani, </w:t>
      </w:r>
      <w:r w:rsidR="00851980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</w:t>
      </w:r>
      <w:r w:rsidR="0085198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851980">
        <w:rPr>
          <w:rFonts w:asciiTheme="minorHAnsi" w:hAnsiTheme="minorHAnsi" w:cstheme="minorHAnsi"/>
        </w:rPr>
        <w:t>6</w:t>
      </w:r>
    </w:p>
    <w:p w14:paraId="1593ED0F" w14:textId="04F48B55" w:rsidR="00107950" w:rsidRPr="00EF6F7E" w:rsidRDefault="006E12D2" w:rsidP="00851980">
      <w:pPr>
        <w:rPr>
          <w:noProof/>
          <w:lang w:val="hr-HR" w:eastAsia="hr-HR"/>
        </w:rPr>
      </w:pPr>
      <w:r w:rsidRPr="00C01942">
        <w:rPr>
          <w:rFonts w:asciiTheme="minorHAnsi" w:hAnsiTheme="minorHAnsi" w:cstheme="minorHAnsi"/>
        </w:rPr>
        <w:t>GHETALDUS OPTIKA d.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8240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3D4A">
        <w:rPr>
          <w:rFonts w:asciiTheme="minorHAnsi" w:hAnsiTheme="minorHAnsi" w:cstheme="minorHAnsi"/>
        </w:rPr>
        <w:t>o</w:t>
      </w:r>
      <w:r w:rsidR="00EB47B7">
        <w:rPr>
          <w:rFonts w:asciiTheme="minorHAnsi" w:hAnsiTheme="minorHAnsi" w:cstheme="minorHAnsi"/>
        </w:rPr>
        <w:t>.</w:t>
      </w:r>
      <w:r w:rsidR="008B3D4A">
        <w:rPr>
          <w:rFonts w:asciiTheme="minorHAnsi" w:hAnsiTheme="minorHAnsi" w:cstheme="minorHAnsi"/>
        </w:rPr>
        <w:t>o.</w:t>
      </w:r>
    </w:p>
    <w:sectPr w:rsidR="00107950" w:rsidRPr="00EF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69C"/>
    <w:multiLevelType w:val="hybridMultilevel"/>
    <w:tmpl w:val="18ACF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F6C"/>
    <w:multiLevelType w:val="hybridMultilevel"/>
    <w:tmpl w:val="C602B1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1886"/>
    <w:multiLevelType w:val="hybridMultilevel"/>
    <w:tmpl w:val="11A8B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16F"/>
    <w:multiLevelType w:val="hybridMultilevel"/>
    <w:tmpl w:val="FF7AAE2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7E54A6"/>
    <w:multiLevelType w:val="hybridMultilevel"/>
    <w:tmpl w:val="4E3CE2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CC47B7"/>
    <w:multiLevelType w:val="hybridMultilevel"/>
    <w:tmpl w:val="F7E225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69655">
    <w:abstractNumId w:val="5"/>
  </w:num>
  <w:num w:numId="2" w16cid:durableId="2003315157">
    <w:abstractNumId w:val="9"/>
  </w:num>
  <w:num w:numId="3" w16cid:durableId="1585869872">
    <w:abstractNumId w:val="4"/>
  </w:num>
  <w:num w:numId="4" w16cid:durableId="949434947">
    <w:abstractNumId w:val="1"/>
  </w:num>
  <w:num w:numId="5" w16cid:durableId="1650867386">
    <w:abstractNumId w:val="1"/>
  </w:num>
  <w:num w:numId="6" w16cid:durableId="771316542">
    <w:abstractNumId w:val="2"/>
  </w:num>
  <w:num w:numId="7" w16cid:durableId="702708714">
    <w:abstractNumId w:val="0"/>
  </w:num>
  <w:num w:numId="8" w16cid:durableId="1038549480">
    <w:abstractNumId w:val="6"/>
  </w:num>
  <w:num w:numId="9" w16cid:durableId="710307690">
    <w:abstractNumId w:val="8"/>
  </w:num>
  <w:num w:numId="10" w16cid:durableId="1318805999">
    <w:abstractNumId w:val="7"/>
  </w:num>
  <w:num w:numId="11" w16cid:durableId="151796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107950"/>
    <w:rsid w:val="001133CF"/>
    <w:rsid w:val="0019213A"/>
    <w:rsid w:val="00207A77"/>
    <w:rsid w:val="00215D5B"/>
    <w:rsid w:val="00227CF7"/>
    <w:rsid w:val="00272494"/>
    <w:rsid w:val="00293C81"/>
    <w:rsid w:val="00293EBA"/>
    <w:rsid w:val="002D68CB"/>
    <w:rsid w:val="00330120"/>
    <w:rsid w:val="003550A5"/>
    <w:rsid w:val="00382E81"/>
    <w:rsid w:val="00417B23"/>
    <w:rsid w:val="00417F00"/>
    <w:rsid w:val="00467FD4"/>
    <w:rsid w:val="00486C61"/>
    <w:rsid w:val="004936CB"/>
    <w:rsid w:val="00537639"/>
    <w:rsid w:val="0055063A"/>
    <w:rsid w:val="005F1D1E"/>
    <w:rsid w:val="006172A6"/>
    <w:rsid w:val="0063584E"/>
    <w:rsid w:val="00694C0A"/>
    <w:rsid w:val="006E12D2"/>
    <w:rsid w:val="006E712F"/>
    <w:rsid w:val="00747D59"/>
    <w:rsid w:val="00775C95"/>
    <w:rsid w:val="00793347"/>
    <w:rsid w:val="007A43B9"/>
    <w:rsid w:val="00811DC4"/>
    <w:rsid w:val="008508A2"/>
    <w:rsid w:val="00851980"/>
    <w:rsid w:val="008B3D4A"/>
    <w:rsid w:val="008D5C3D"/>
    <w:rsid w:val="00903BAC"/>
    <w:rsid w:val="009B347A"/>
    <w:rsid w:val="009E48B9"/>
    <w:rsid w:val="00A11B94"/>
    <w:rsid w:val="00A1478A"/>
    <w:rsid w:val="00A44B74"/>
    <w:rsid w:val="00A5373D"/>
    <w:rsid w:val="00A767FE"/>
    <w:rsid w:val="00AA63CF"/>
    <w:rsid w:val="00AC0909"/>
    <w:rsid w:val="00AF4F96"/>
    <w:rsid w:val="00B2488C"/>
    <w:rsid w:val="00B50CB6"/>
    <w:rsid w:val="00B81286"/>
    <w:rsid w:val="00BC3032"/>
    <w:rsid w:val="00BD7D03"/>
    <w:rsid w:val="00C57D5C"/>
    <w:rsid w:val="00C6168F"/>
    <w:rsid w:val="00CA17CC"/>
    <w:rsid w:val="00CA4DBB"/>
    <w:rsid w:val="00CB3F3E"/>
    <w:rsid w:val="00CE6FD0"/>
    <w:rsid w:val="00D30141"/>
    <w:rsid w:val="00D3051E"/>
    <w:rsid w:val="00E1643F"/>
    <w:rsid w:val="00E62DC9"/>
    <w:rsid w:val="00E639D8"/>
    <w:rsid w:val="00E80148"/>
    <w:rsid w:val="00EA52DE"/>
    <w:rsid w:val="00EB47B7"/>
    <w:rsid w:val="00EF223E"/>
    <w:rsid w:val="00EF6F7E"/>
    <w:rsid w:val="00F2779D"/>
    <w:rsid w:val="00F65E14"/>
    <w:rsid w:val="00F66365"/>
    <w:rsid w:val="00FB7A12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stavekseznama">
    <w:name w:val="List Paragraph"/>
    <w:basedOn w:val="Navaden"/>
    <w:uiPriority w:val="1"/>
    <w:qFormat/>
    <w:rsid w:val="00486C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F223E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F223E"/>
    <w:rPr>
      <w:rFonts w:ascii="Consolas" w:eastAsia="Arial Unicode MS" w:hAnsi="Consolas" w:cs="Times New Roman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Andreja Golčar</cp:lastModifiedBy>
  <cp:revision>5</cp:revision>
  <cp:lastPrinted>2021-02-17T15:49:00Z</cp:lastPrinted>
  <dcterms:created xsi:type="dcterms:W3CDTF">2025-04-09T16:31:00Z</dcterms:created>
  <dcterms:modified xsi:type="dcterms:W3CDTF">2026-05-14T09:10:00Z</dcterms:modified>
</cp:coreProperties>
</file>